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3A" w:rsidRPr="006C1DC7" w:rsidRDefault="00491D9F" w:rsidP="007F0825">
      <w:pPr>
        <w:spacing w:after="0" w:line="240" w:lineRule="auto"/>
        <w:rPr>
          <w:b/>
          <w:u w:val="single"/>
        </w:rPr>
      </w:pPr>
      <w:r w:rsidRPr="006C1DC7">
        <w:rPr>
          <w:b/>
          <w:u w:val="single"/>
        </w:rPr>
        <w:t>BIDP Marketing Strategy Meeting</w:t>
      </w:r>
    </w:p>
    <w:p w:rsidR="00BF1937" w:rsidRPr="006C1DC7" w:rsidRDefault="006C1DC7" w:rsidP="006C1DC7">
      <w:pPr>
        <w:spacing w:after="0" w:line="240" w:lineRule="auto"/>
        <w:rPr>
          <w:i/>
          <w:sz w:val="18"/>
          <w:szCs w:val="18"/>
        </w:rPr>
      </w:pPr>
      <w:r w:rsidRPr="006C1DC7">
        <w:rPr>
          <w:i/>
          <w:sz w:val="18"/>
          <w:szCs w:val="18"/>
        </w:rPr>
        <w:t xml:space="preserve">Developed by: </w:t>
      </w:r>
      <w:proofErr w:type="spellStart"/>
      <w:r w:rsidR="00BF1937" w:rsidRPr="006C1DC7">
        <w:rPr>
          <w:i/>
          <w:sz w:val="18"/>
          <w:szCs w:val="18"/>
        </w:rPr>
        <w:t>Killion</w:t>
      </w:r>
      <w:proofErr w:type="spellEnd"/>
      <w:r w:rsidR="00BF1937" w:rsidRPr="006C1DC7">
        <w:rPr>
          <w:i/>
          <w:sz w:val="18"/>
          <w:szCs w:val="18"/>
        </w:rPr>
        <w:t xml:space="preserve"> </w:t>
      </w:r>
      <w:proofErr w:type="spellStart"/>
      <w:r w:rsidR="00BF1937" w:rsidRPr="006C1DC7">
        <w:rPr>
          <w:i/>
          <w:sz w:val="18"/>
          <w:szCs w:val="18"/>
        </w:rPr>
        <w:t>Mokwete</w:t>
      </w:r>
      <w:proofErr w:type="spellEnd"/>
      <w:r w:rsidRPr="006C1DC7">
        <w:rPr>
          <w:i/>
          <w:sz w:val="18"/>
          <w:szCs w:val="18"/>
        </w:rPr>
        <w:t xml:space="preserve"> and </w:t>
      </w:r>
      <w:proofErr w:type="spellStart"/>
      <w:r w:rsidR="00BF1937" w:rsidRPr="006C1DC7">
        <w:rPr>
          <w:i/>
          <w:sz w:val="18"/>
          <w:szCs w:val="18"/>
        </w:rPr>
        <w:t>Ndingi</w:t>
      </w:r>
      <w:proofErr w:type="spellEnd"/>
      <w:r w:rsidR="00BF1937" w:rsidRPr="006C1DC7">
        <w:rPr>
          <w:i/>
          <w:sz w:val="18"/>
          <w:szCs w:val="18"/>
        </w:rPr>
        <w:t xml:space="preserve"> Hobona</w:t>
      </w:r>
    </w:p>
    <w:p w:rsidR="007F0825" w:rsidRDefault="007F0825" w:rsidP="007F0825">
      <w:pPr>
        <w:spacing w:after="0" w:line="240" w:lineRule="auto"/>
      </w:pPr>
    </w:p>
    <w:p w:rsidR="007F0825" w:rsidRDefault="007F0825" w:rsidP="007F0825">
      <w:pPr>
        <w:spacing w:after="0" w:line="240" w:lineRule="auto"/>
      </w:pPr>
      <w:r>
        <w:t>Developing a Strategic Guideline for BIDP’s marketing and Promotion Plan</w:t>
      </w:r>
    </w:p>
    <w:p w:rsidR="007F0825" w:rsidRPr="006C1DC7" w:rsidRDefault="006C1DC7" w:rsidP="007F0825">
      <w:pPr>
        <w:spacing w:after="0" w:line="240" w:lineRule="auto"/>
        <w:rPr>
          <w:b/>
        </w:rPr>
      </w:pPr>
      <w:r w:rsidRPr="006C1DC7">
        <w:rPr>
          <w:b/>
        </w:rPr>
        <w:t xml:space="preserve">Introduction </w:t>
      </w:r>
    </w:p>
    <w:p w:rsidR="007F0825" w:rsidRDefault="007F0825" w:rsidP="007F0825">
      <w:pPr>
        <w:spacing w:after="0" w:line="240" w:lineRule="auto"/>
      </w:pPr>
      <w:r>
        <w:t>Key to any organization or institution is how it is able to reach out to its members and more importantly to the public. This reach is to be guided and nurtured by set pragmatic guidelines for marketing and promoting its services, products and its brand. BIDP currently has the following key challenges in this regard:</w:t>
      </w:r>
    </w:p>
    <w:p w:rsidR="007F0825" w:rsidRDefault="007F0825" w:rsidP="007F0825">
      <w:pPr>
        <w:pStyle w:val="ListParagraph"/>
        <w:numPr>
          <w:ilvl w:val="0"/>
          <w:numId w:val="2"/>
        </w:numPr>
        <w:spacing w:after="0" w:line="240" w:lineRule="auto"/>
      </w:pPr>
      <w:r>
        <w:t>Lack of awareness amongst both public and professionals about its products and services.</w:t>
      </w:r>
    </w:p>
    <w:p w:rsidR="007F0825" w:rsidRDefault="007F0825" w:rsidP="007F0825">
      <w:pPr>
        <w:pStyle w:val="ListParagraph"/>
        <w:numPr>
          <w:ilvl w:val="0"/>
          <w:numId w:val="2"/>
        </w:numPr>
        <w:spacing w:after="0" w:line="240" w:lineRule="auto"/>
      </w:pPr>
      <w:r>
        <w:t>Limited recruitment of members due to lack of reach to new potential members</w:t>
      </w:r>
    </w:p>
    <w:p w:rsidR="007F0825" w:rsidRDefault="00F974F3" w:rsidP="007F0825">
      <w:pPr>
        <w:pStyle w:val="ListParagraph"/>
        <w:numPr>
          <w:ilvl w:val="0"/>
          <w:numId w:val="2"/>
        </w:numPr>
        <w:spacing w:after="0" w:line="240" w:lineRule="auto"/>
      </w:pPr>
      <w:r>
        <w:t xml:space="preserve">BIDP events, lectures and public education occasions do not reach a wider audience due to lack of information output modes. </w:t>
      </w:r>
    </w:p>
    <w:p w:rsidR="00F974F3" w:rsidRDefault="00F974F3" w:rsidP="007F0825">
      <w:pPr>
        <w:pStyle w:val="ListParagraph"/>
        <w:numPr>
          <w:ilvl w:val="0"/>
          <w:numId w:val="2"/>
        </w:numPr>
        <w:spacing w:after="0" w:line="240" w:lineRule="auto"/>
      </w:pPr>
      <w:r>
        <w:t xml:space="preserve">Limited products such as contract documents </w:t>
      </w:r>
    </w:p>
    <w:p w:rsidR="00F974F3" w:rsidRDefault="00F974F3" w:rsidP="007F0825">
      <w:pPr>
        <w:pStyle w:val="ListParagraph"/>
        <w:numPr>
          <w:ilvl w:val="0"/>
          <w:numId w:val="2"/>
        </w:numPr>
        <w:spacing w:after="0" w:line="240" w:lineRule="auto"/>
      </w:pPr>
      <w:r>
        <w:t xml:space="preserve">Limited impact on professions developments and or policy influences and lobbying powers  </w:t>
      </w:r>
    </w:p>
    <w:p w:rsidR="00F974F3" w:rsidRDefault="00F974F3" w:rsidP="00F974F3">
      <w:pPr>
        <w:spacing w:after="0" w:line="240" w:lineRule="auto"/>
      </w:pPr>
    </w:p>
    <w:p w:rsidR="00BF1937" w:rsidRPr="006C1DC7" w:rsidRDefault="00BF1937" w:rsidP="007F0825">
      <w:pPr>
        <w:spacing w:after="0"/>
        <w:rPr>
          <w:b/>
        </w:rPr>
      </w:pPr>
      <w:r w:rsidRPr="006C1DC7">
        <w:rPr>
          <w:b/>
        </w:rPr>
        <w:t>Resolutions:</w:t>
      </w:r>
    </w:p>
    <w:tbl>
      <w:tblPr>
        <w:tblW w:w="94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4483"/>
        <w:gridCol w:w="1417"/>
      </w:tblGrid>
      <w:tr w:rsidR="007F0825" w:rsidTr="00C3560B">
        <w:trPr>
          <w:trHeight w:val="587"/>
        </w:trPr>
        <w:tc>
          <w:tcPr>
            <w:tcW w:w="3591" w:type="dxa"/>
          </w:tcPr>
          <w:p w:rsidR="007F0825" w:rsidRDefault="007F0825" w:rsidP="007F0825">
            <w:pPr>
              <w:pStyle w:val="ListParagraph"/>
              <w:ind w:left="455"/>
            </w:pPr>
            <w:r>
              <w:t xml:space="preserve">Strategy </w:t>
            </w:r>
          </w:p>
        </w:tc>
        <w:tc>
          <w:tcPr>
            <w:tcW w:w="4536" w:type="dxa"/>
          </w:tcPr>
          <w:p w:rsidR="007F0825" w:rsidRDefault="007F0825">
            <w:r>
              <w:t xml:space="preserve">Notes </w:t>
            </w:r>
          </w:p>
        </w:tc>
        <w:tc>
          <w:tcPr>
            <w:tcW w:w="1354" w:type="dxa"/>
          </w:tcPr>
          <w:p w:rsidR="007F0825" w:rsidRDefault="007F0825">
            <w:r>
              <w:t xml:space="preserve">Action Dates </w:t>
            </w:r>
          </w:p>
        </w:tc>
      </w:tr>
      <w:tr w:rsidR="007F0825" w:rsidTr="00C3560B">
        <w:trPr>
          <w:trHeight w:val="587"/>
        </w:trPr>
        <w:tc>
          <w:tcPr>
            <w:tcW w:w="3591" w:type="dxa"/>
          </w:tcPr>
          <w:p w:rsidR="007F0825" w:rsidRDefault="007F0825" w:rsidP="00C3560B">
            <w:pPr>
              <w:pStyle w:val="ListParagraph"/>
              <w:numPr>
                <w:ilvl w:val="0"/>
                <w:numId w:val="1"/>
              </w:numPr>
              <w:spacing w:after="0" w:line="240" w:lineRule="auto"/>
              <w:ind w:left="455"/>
            </w:pPr>
            <w:r>
              <w:t xml:space="preserve">Engage in </w:t>
            </w:r>
            <w:r w:rsidR="00C3560B">
              <w:t xml:space="preserve">and initiate </w:t>
            </w:r>
            <w:r>
              <w:t xml:space="preserve">Industry Events </w:t>
            </w:r>
          </w:p>
          <w:p w:rsidR="007F0825" w:rsidRDefault="007F0825" w:rsidP="00C3560B">
            <w:pPr>
              <w:pStyle w:val="ListParagraph"/>
              <w:numPr>
                <w:ilvl w:val="1"/>
                <w:numId w:val="1"/>
              </w:numPr>
              <w:spacing w:after="0" w:line="240" w:lineRule="auto"/>
              <w:ind w:left="1175"/>
            </w:pPr>
            <w:r>
              <w:t>Check Calendar of Industry events such as expos</w:t>
            </w:r>
          </w:p>
          <w:p w:rsidR="00462072" w:rsidRPr="00DE16B9" w:rsidRDefault="00462072" w:rsidP="00C3560B">
            <w:pPr>
              <w:pStyle w:val="ListParagraph"/>
              <w:numPr>
                <w:ilvl w:val="1"/>
                <w:numId w:val="1"/>
              </w:numPr>
              <w:spacing w:after="0" w:line="240" w:lineRule="auto"/>
              <w:ind w:left="1175"/>
              <w:rPr>
                <w:b/>
              </w:rPr>
            </w:pPr>
            <w:r w:rsidRPr="00DE16B9">
              <w:rPr>
                <w:b/>
              </w:rPr>
              <w:t>Prepare a physical calendar where events &amp; dates may be entered</w:t>
            </w:r>
          </w:p>
        </w:tc>
        <w:tc>
          <w:tcPr>
            <w:tcW w:w="4536" w:type="dxa"/>
          </w:tcPr>
          <w:p w:rsidR="00C3560B" w:rsidRDefault="00F974F3" w:rsidP="00C3560B">
            <w:pPr>
              <w:spacing w:after="0" w:line="240" w:lineRule="auto"/>
            </w:pPr>
            <w:r>
              <w:t xml:space="preserve">Industry events offer an opportunity for public interaction. </w:t>
            </w:r>
            <w:r w:rsidR="00C3560B">
              <w:t xml:space="preserve">Partnerships with key strategic calendar events such as; </w:t>
            </w:r>
          </w:p>
          <w:p w:rsidR="00C3560B" w:rsidRDefault="00C3560B" w:rsidP="00C3560B">
            <w:pPr>
              <w:pStyle w:val="ListParagraph"/>
              <w:numPr>
                <w:ilvl w:val="0"/>
                <w:numId w:val="3"/>
              </w:numPr>
              <w:spacing w:after="0" w:line="240" w:lineRule="auto"/>
            </w:pPr>
            <w:r>
              <w:t xml:space="preserve">property expo, </w:t>
            </w:r>
          </w:p>
          <w:p w:rsidR="00C3560B" w:rsidRDefault="00C3560B" w:rsidP="00C3560B">
            <w:pPr>
              <w:pStyle w:val="ListParagraph"/>
              <w:numPr>
                <w:ilvl w:val="0"/>
                <w:numId w:val="3"/>
              </w:numPr>
              <w:spacing w:after="0" w:line="240" w:lineRule="auto"/>
            </w:pPr>
            <w:r>
              <w:t xml:space="preserve">BOCCIM northern trade fair, </w:t>
            </w:r>
          </w:p>
          <w:p w:rsidR="00C3560B" w:rsidRDefault="00C3560B" w:rsidP="00C3560B">
            <w:pPr>
              <w:pStyle w:val="ListParagraph"/>
              <w:numPr>
                <w:ilvl w:val="0"/>
                <w:numId w:val="3"/>
              </w:numPr>
              <w:spacing w:after="0" w:line="240" w:lineRule="auto"/>
            </w:pPr>
            <w:r>
              <w:t xml:space="preserve">global expos, </w:t>
            </w:r>
          </w:p>
          <w:p w:rsidR="00C3560B" w:rsidRDefault="00C3560B" w:rsidP="00C3560B">
            <w:pPr>
              <w:pStyle w:val="ListParagraph"/>
              <w:numPr>
                <w:ilvl w:val="0"/>
                <w:numId w:val="3"/>
              </w:numPr>
              <w:spacing w:after="0" w:line="240" w:lineRule="auto"/>
            </w:pPr>
            <w:r>
              <w:t xml:space="preserve">PPC’s annual contractors competition and others </w:t>
            </w:r>
          </w:p>
        </w:tc>
        <w:tc>
          <w:tcPr>
            <w:tcW w:w="1354" w:type="dxa"/>
          </w:tcPr>
          <w:p w:rsidR="007F0825" w:rsidRDefault="007F0825" w:rsidP="00C3560B">
            <w:pPr>
              <w:spacing w:after="0" w:line="240" w:lineRule="auto"/>
            </w:pPr>
          </w:p>
          <w:p w:rsidR="007F0825" w:rsidRDefault="00462072" w:rsidP="00C3560B">
            <w:pPr>
              <w:spacing w:after="0" w:line="240" w:lineRule="auto"/>
            </w:pPr>
            <w:r>
              <w:t>a. June 30</w:t>
            </w:r>
            <w:r w:rsidRPr="00462072">
              <w:rPr>
                <w:vertAlign w:val="superscript"/>
              </w:rPr>
              <w:t>th</w:t>
            </w:r>
          </w:p>
          <w:p w:rsidR="00462072" w:rsidRDefault="00462072" w:rsidP="00C3560B">
            <w:pPr>
              <w:spacing w:after="0" w:line="240" w:lineRule="auto"/>
            </w:pPr>
            <w:r>
              <w:t>b. July 22nd</w:t>
            </w:r>
          </w:p>
        </w:tc>
      </w:tr>
      <w:tr w:rsidR="007F0825" w:rsidTr="00C3560B">
        <w:trPr>
          <w:trHeight w:val="621"/>
        </w:trPr>
        <w:tc>
          <w:tcPr>
            <w:tcW w:w="3591" w:type="dxa"/>
          </w:tcPr>
          <w:p w:rsidR="007F0825" w:rsidRDefault="007F0825" w:rsidP="00915B78">
            <w:pPr>
              <w:pStyle w:val="ListParagraph"/>
              <w:numPr>
                <w:ilvl w:val="0"/>
                <w:numId w:val="1"/>
              </w:numPr>
              <w:spacing w:after="0" w:line="240" w:lineRule="auto"/>
              <w:ind w:left="455"/>
            </w:pPr>
            <w:r>
              <w:t>Forge relationships with professional bodies</w:t>
            </w:r>
            <w:r w:rsidR="00915B78">
              <w:t xml:space="preserve"> and Private Sector Representation Stakeholders-BOCCIM</w:t>
            </w:r>
            <w:r>
              <w:t>:</w:t>
            </w:r>
          </w:p>
          <w:p w:rsidR="007F0825" w:rsidRDefault="007F0825" w:rsidP="00915B78">
            <w:pPr>
              <w:pStyle w:val="ListParagraph"/>
              <w:numPr>
                <w:ilvl w:val="1"/>
                <w:numId w:val="1"/>
              </w:numPr>
              <w:spacing w:line="240" w:lineRule="auto"/>
              <w:ind w:left="1175"/>
            </w:pPr>
            <w:r>
              <w:t xml:space="preserve">Engineers, Estate Agents, QS, Architects </w:t>
            </w:r>
            <w:proofErr w:type="spellStart"/>
            <w:r>
              <w:t>etc</w:t>
            </w:r>
            <w:proofErr w:type="spellEnd"/>
          </w:p>
          <w:p w:rsidR="00DE16B9" w:rsidRPr="00DE16B9" w:rsidRDefault="00DE16B9" w:rsidP="00915B78">
            <w:pPr>
              <w:pStyle w:val="ListParagraph"/>
              <w:numPr>
                <w:ilvl w:val="1"/>
                <w:numId w:val="1"/>
              </w:numPr>
              <w:spacing w:line="240" w:lineRule="auto"/>
              <w:ind w:left="1175"/>
              <w:rPr>
                <w:b/>
              </w:rPr>
            </w:pPr>
            <w:r w:rsidRPr="00DE16B9">
              <w:rPr>
                <w:b/>
              </w:rPr>
              <w:t>Include other professions in events</w:t>
            </w:r>
          </w:p>
        </w:tc>
        <w:tc>
          <w:tcPr>
            <w:tcW w:w="4536" w:type="dxa"/>
          </w:tcPr>
          <w:p w:rsidR="007F0825" w:rsidRDefault="00C3560B" w:rsidP="00915B78">
            <w:pPr>
              <w:spacing w:line="240" w:lineRule="auto"/>
            </w:pPr>
            <w:r>
              <w:t>Professionals are the primary members and users and consumers of some of BIDP’s products such as contracts. Therefore a relationship with their respective organization and members is vital also for growing BDIP’s members:</w:t>
            </w:r>
          </w:p>
          <w:p w:rsidR="007F0825" w:rsidRDefault="00C3560B" w:rsidP="00915B78">
            <w:pPr>
              <w:spacing w:line="240" w:lineRule="auto"/>
            </w:pPr>
            <w:r>
              <w:t>AAB, IBQS, REIB, BIE and others</w:t>
            </w:r>
          </w:p>
        </w:tc>
        <w:tc>
          <w:tcPr>
            <w:tcW w:w="1354" w:type="dxa"/>
          </w:tcPr>
          <w:p w:rsidR="007F0825" w:rsidRDefault="00171867" w:rsidP="00915B78">
            <w:pPr>
              <w:spacing w:line="240" w:lineRule="auto"/>
            </w:pPr>
            <w:r>
              <w:t xml:space="preserve">6 month period ending December </w:t>
            </w:r>
            <w:r w:rsidR="00186EFA">
              <w:t>’</w:t>
            </w:r>
            <w:r>
              <w:t>13</w:t>
            </w:r>
            <w:r w:rsidR="00186EFA">
              <w:t xml:space="preserve"> to start</w:t>
            </w:r>
          </w:p>
          <w:p w:rsidR="007F0825" w:rsidRDefault="007F0825" w:rsidP="00915B78">
            <w:pPr>
              <w:spacing w:line="240" w:lineRule="auto"/>
            </w:pPr>
          </w:p>
        </w:tc>
      </w:tr>
      <w:tr w:rsidR="007F0825" w:rsidTr="00C3560B">
        <w:trPr>
          <w:trHeight w:val="611"/>
        </w:trPr>
        <w:tc>
          <w:tcPr>
            <w:tcW w:w="3591" w:type="dxa"/>
          </w:tcPr>
          <w:p w:rsidR="007F0825" w:rsidRDefault="007F0825" w:rsidP="007F0825">
            <w:pPr>
              <w:pStyle w:val="ListParagraph"/>
              <w:numPr>
                <w:ilvl w:val="0"/>
                <w:numId w:val="1"/>
              </w:numPr>
              <w:ind w:left="455"/>
            </w:pPr>
            <w:r>
              <w:t xml:space="preserve">Forge relationships with </w:t>
            </w:r>
            <w:r w:rsidR="00F974F3">
              <w:t xml:space="preserve">Government Ministries and </w:t>
            </w:r>
            <w:proofErr w:type="spellStart"/>
            <w:r>
              <w:t>Parastatals</w:t>
            </w:r>
            <w:proofErr w:type="spellEnd"/>
            <w:r>
              <w:t>:</w:t>
            </w:r>
          </w:p>
          <w:p w:rsidR="007F0825" w:rsidRDefault="00F974F3" w:rsidP="007F0825">
            <w:pPr>
              <w:pStyle w:val="ListParagraph"/>
              <w:numPr>
                <w:ilvl w:val="1"/>
                <w:numId w:val="1"/>
              </w:numPr>
              <w:ind w:left="1175"/>
            </w:pPr>
            <w:r>
              <w:t xml:space="preserve">MIST, MLH, LA, </w:t>
            </w:r>
            <w:r w:rsidR="007F0825">
              <w:t xml:space="preserve">BDF, PPADB, WUC, BHC </w:t>
            </w:r>
            <w:proofErr w:type="spellStart"/>
            <w:r w:rsidR="007F0825">
              <w:t>etc</w:t>
            </w:r>
            <w:proofErr w:type="spellEnd"/>
          </w:p>
          <w:p w:rsidR="00186EFA" w:rsidRDefault="00186EFA" w:rsidP="00186EFA">
            <w:pPr>
              <w:pStyle w:val="ListParagraph"/>
              <w:numPr>
                <w:ilvl w:val="1"/>
                <w:numId w:val="1"/>
              </w:numPr>
              <w:ind w:left="1175"/>
            </w:pPr>
            <w:r w:rsidRPr="00DE16B9">
              <w:rPr>
                <w:b/>
              </w:rPr>
              <w:t xml:space="preserve">Include </w:t>
            </w:r>
            <w:r>
              <w:rPr>
                <w:b/>
              </w:rPr>
              <w:t xml:space="preserve">&amp; invite to </w:t>
            </w:r>
            <w:r w:rsidRPr="00DE16B9">
              <w:rPr>
                <w:b/>
              </w:rPr>
              <w:t>events</w:t>
            </w:r>
          </w:p>
        </w:tc>
        <w:tc>
          <w:tcPr>
            <w:tcW w:w="4536" w:type="dxa"/>
          </w:tcPr>
          <w:p w:rsidR="007F0825" w:rsidRDefault="00915B78">
            <w:r>
              <w:t xml:space="preserve">Relevant Government Ministries as the key backbone to all industries currently in Botswana need to be closely related to. This will enable BIDP to have a say in policy issues. There is need for a guideline strategy for developing of this relationship.  </w:t>
            </w:r>
          </w:p>
          <w:p w:rsidR="007F0825" w:rsidRDefault="007F0825" w:rsidP="00915B78"/>
        </w:tc>
        <w:tc>
          <w:tcPr>
            <w:tcW w:w="1354" w:type="dxa"/>
          </w:tcPr>
          <w:p w:rsidR="00186EFA" w:rsidRDefault="00186EFA" w:rsidP="00186EFA">
            <w:pPr>
              <w:spacing w:line="240" w:lineRule="auto"/>
            </w:pPr>
            <w:r>
              <w:t xml:space="preserve">6 month period ending December </w:t>
            </w:r>
            <w:r>
              <w:t>’</w:t>
            </w:r>
            <w:r>
              <w:t>13</w:t>
            </w:r>
            <w:r>
              <w:t xml:space="preserve"> to start</w:t>
            </w:r>
          </w:p>
          <w:p w:rsidR="007F0825" w:rsidRDefault="007F0825" w:rsidP="007F0825"/>
        </w:tc>
      </w:tr>
      <w:tr w:rsidR="007F0825" w:rsidTr="00C3560B">
        <w:trPr>
          <w:trHeight w:val="552"/>
        </w:trPr>
        <w:tc>
          <w:tcPr>
            <w:tcW w:w="3591" w:type="dxa"/>
          </w:tcPr>
          <w:p w:rsidR="007F0825" w:rsidRDefault="006C1DC7" w:rsidP="006C1DC7">
            <w:pPr>
              <w:pStyle w:val="ListParagraph"/>
              <w:numPr>
                <w:ilvl w:val="0"/>
                <w:numId w:val="1"/>
              </w:numPr>
              <w:spacing w:after="0" w:line="240" w:lineRule="auto"/>
              <w:ind w:left="455"/>
            </w:pPr>
            <w:r>
              <w:t>Create a Plan for BIDP S</w:t>
            </w:r>
            <w:r w:rsidR="007F0825">
              <w:t>eminar</w:t>
            </w:r>
            <w:r>
              <w:t>s</w:t>
            </w:r>
            <w:r w:rsidR="007F0825">
              <w:t xml:space="preserve"> </w:t>
            </w:r>
          </w:p>
          <w:p w:rsidR="007F0825" w:rsidRDefault="007F0825" w:rsidP="006C1DC7">
            <w:pPr>
              <w:pStyle w:val="ListParagraph"/>
              <w:numPr>
                <w:ilvl w:val="1"/>
                <w:numId w:val="1"/>
              </w:numPr>
              <w:spacing w:after="0" w:line="240" w:lineRule="auto"/>
              <w:ind w:left="1175"/>
            </w:pPr>
            <w:r>
              <w:t>Promote contracts</w:t>
            </w:r>
          </w:p>
        </w:tc>
        <w:tc>
          <w:tcPr>
            <w:tcW w:w="4536" w:type="dxa"/>
          </w:tcPr>
          <w:p w:rsidR="007F0825" w:rsidRDefault="006C1DC7" w:rsidP="006C1DC7">
            <w:pPr>
              <w:spacing w:after="0" w:line="240" w:lineRule="auto"/>
            </w:pPr>
            <w:r>
              <w:t xml:space="preserve">BIDP </w:t>
            </w:r>
            <w:proofErr w:type="gramStart"/>
            <w:r>
              <w:t>seminar’s</w:t>
            </w:r>
            <w:proofErr w:type="gramEnd"/>
            <w:r>
              <w:t xml:space="preserve"> would be ideal for promoting various aspects of what BIDP does and also an opportunity to develop CPD’S either for its members and or public. </w:t>
            </w:r>
          </w:p>
          <w:p w:rsidR="007F0825" w:rsidRDefault="006C1DC7" w:rsidP="006C1DC7">
            <w:pPr>
              <w:spacing w:after="0" w:line="240" w:lineRule="auto"/>
            </w:pPr>
            <w:r>
              <w:lastRenderedPageBreak/>
              <w:t xml:space="preserve">Strategic seminars on particular issues such as contracts can be organized both for public, professional and private sector consumption </w:t>
            </w:r>
          </w:p>
        </w:tc>
        <w:tc>
          <w:tcPr>
            <w:tcW w:w="1354" w:type="dxa"/>
          </w:tcPr>
          <w:p w:rsidR="007F0825" w:rsidRDefault="007F0825" w:rsidP="006C1DC7">
            <w:pPr>
              <w:spacing w:after="0" w:line="240" w:lineRule="auto"/>
            </w:pPr>
          </w:p>
          <w:p w:rsidR="007F0825" w:rsidRDefault="000D0710" w:rsidP="006C1DC7">
            <w:pPr>
              <w:spacing w:after="0" w:line="240" w:lineRule="auto"/>
            </w:pPr>
            <w:r>
              <w:t>19</w:t>
            </w:r>
            <w:r w:rsidRPr="000D0710">
              <w:rPr>
                <w:vertAlign w:val="superscript"/>
              </w:rPr>
              <w:t>th</w:t>
            </w:r>
            <w:r>
              <w:t xml:space="preserve"> September 2013</w:t>
            </w:r>
          </w:p>
        </w:tc>
      </w:tr>
      <w:tr w:rsidR="007F0825" w:rsidTr="00C3560B">
        <w:trPr>
          <w:trHeight w:val="910"/>
        </w:trPr>
        <w:tc>
          <w:tcPr>
            <w:tcW w:w="3591" w:type="dxa"/>
          </w:tcPr>
          <w:p w:rsidR="007F0825" w:rsidRDefault="007F0825" w:rsidP="006C1DC7">
            <w:pPr>
              <w:pStyle w:val="ListParagraph"/>
              <w:numPr>
                <w:ilvl w:val="0"/>
                <w:numId w:val="1"/>
              </w:numPr>
              <w:spacing w:after="0"/>
              <w:ind w:left="455"/>
            </w:pPr>
            <w:r>
              <w:lastRenderedPageBreak/>
              <w:t>Form relationships with the media:</w:t>
            </w:r>
          </w:p>
          <w:p w:rsidR="006C1DC7" w:rsidRDefault="007F0825" w:rsidP="006C1DC7">
            <w:pPr>
              <w:pStyle w:val="ListParagraph"/>
              <w:numPr>
                <w:ilvl w:val="1"/>
                <w:numId w:val="1"/>
              </w:numPr>
              <w:ind w:left="1175"/>
            </w:pPr>
            <w:r>
              <w:t>Public and private</w:t>
            </w:r>
          </w:p>
          <w:p w:rsidR="007F0825" w:rsidRDefault="007F0825" w:rsidP="006C1DC7">
            <w:pPr>
              <w:pStyle w:val="ListParagraph"/>
              <w:numPr>
                <w:ilvl w:val="1"/>
                <w:numId w:val="1"/>
              </w:numPr>
              <w:ind w:left="1175"/>
            </w:pPr>
            <w:r>
              <w:t xml:space="preserve">BOCCIM: Explore </w:t>
            </w:r>
            <w:proofErr w:type="spellStart"/>
            <w:r>
              <w:t>Boccim</w:t>
            </w:r>
            <w:proofErr w:type="spellEnd"/>
            <w:r>
              <w:t>/</w:t>
            </w:r>
            <w:proofErr w:type="spellStart"/>
            <w:r>
              <w:t>Mmegi</w:t>
            </w:r>
            <w:proofErr w:type="spellEnd"/>
            <w:r>
              <w:t xml:space="preserve"> relationship</w:t>
            </w:r>
          </w:p>
        </w:tc>
        <w:tc>
          <w:tcPr>
            <w:tcW w:w="4536" w:type="dxa"/>
          </w:tcPr>
          <w:p w:rsidR="007F0825" w:rsidRDefault="006C1DC7" w:rsidP="007F0825">
            <w:r>
              <w:t xml:space="preserve">Developing mutual beneficial relations with Media outlets will help take BIDP events, messages to its membership and more importantly the public. Media houses to be approached for a long term strategic partnerships.  </w:t>
            </w:r>
          </w:p>
        </w:tc>
        <w:tc>
          <w:tcPr>
            <w:tcW w:w="1354" w:type="dxa"/>
          </w:tcPr>
          <w:p w:rsidR="000D0710" w:rsidRDefault="000D0710" w:rsidP="000D0710">
            <w:pPr>
              <w:spacing w:line="240" w:lineRule="auto"/>
            </w:pPr>
            <w:r>
              <w:t>6 month period ending December ’13 to start</w:t>
            </w:r>
          </w:p>
          <w:p w:rsidR="007F0825" w:rsidRDefault="007F0825"/>
          <w:p w:rsidR="007F0825" w:rsidRDefault="007F0825"/>
          <w:p w:rsidR="007F0825" w:rsidRDefault="007F0825" w:rsidP="007F0825"/>
        </w:tc>
      </w:tr>
      <w:tr w:rsidR="007F0825" w:rsidTr="00C3560B">
        <w:trPr>
          <w:trHeight w:val="264"/>
        </w:trPr>
        <w:tc>
          <w:tcPr>
            <w:tcW w:w="3591" w:type="dxa"/>
          </w:tcPr>
          <w:p w:rsidR="007F0825" w:rsidRDefault="007F0825" w:rsidP="007F0825">
            <w:pPr>
              <w:pStyle w:val="ListParagraph"/>
              <w:numPr>
                <w:ilvl w:val="0"/>
                <w:numId w:val="1"/>
              </w:numPr>
              <w:ind w:left="455"/>
            </w:pPr>
            <w:r>
              <w:t>Educational and vocational Institutions</w:t>
            </w:r>
          </w:p>
        </w:tc>
        <w:tc>
          <w:tcPr>
            <w:tcW w:w="4536" w:type="dxa"/>
          </w:tcPr>
          <w:p w:rsidR="002A4511" w:rsidRDefault="006C1DC7" w:rsidP="002A4511">
            <w:pPr>
              <w:spacing w:after="0" w:line="240" w:lineRule="auto"/>
            </w:pPr>
            <w:r>
              <w:t xml:space="preserve">Continue relationships with education institutions such as </w:t>
            </w:r>
            <w:r w:rsidRPr="002A4511">
              <w:rPr>
                <w:i/>
              </w:rPr>
              <w:t xml:space="preserve">UB, </w:t>
            </w:r>
            <w:proofErr w:type="spellStart"/>
            <w:r w:rsidRPr="002A4511">
              <w:rPr>
                <w:i/>
              </w:rPr>
              <w:t>Lim</w:t>
            </w:r>
            <w:r w:rsidR="002A4511" w:rsidRPr="002A4511">
              <w:rPr>
                <w:i/>
              </w:rPr>
              <w:t>kwokwing</w:t>
            </w:r>
            <w:proofErr w:type="spellEnd"/>
            <w:r w:rsidR="002A4511" w:rsidRPr="002A4511">
              <w:rPr>
                <w:i/>
              </w:rPr>
              <w:t xml:space="preserve">, ABM, </w:t>
            </w:r>
            <w:proofErr w:type="spellStart"/>
            <w:r w:rsidR="002A4511" w:rsidRPr="002A4511">
              <w:rPr>
                <w:i/>
              </w:rPr>
              <w:t>Botho</w:t>
            </w:r>
            <w:proofErr w:type="spellEnd"/>
            <w:r w:rsidR="002A4511" w:rsidRPr="002A4511">
              <w:rPr>
                <w:i/>
              </w:rPr>
              <w:t xml:space="preserve"> and</w:t>
            </w:r>
            <w:r w:rsidR="002A4511">
              <w:t xml:space="preserve"> others, through alliances with Student associations and participating in:</w:t>
            </w:r>
          </w:p>
          <w:p w:rsidR="002A4511" w:rsidRDefault="002A4511" w:rsidP="002A4511">
            <w:pPr>
              <w:pStyle w:val="ListParagraph"/>
              <w:numPr>
                <w:ilvl w:val="0"/>
                <w:numId w:val="4"/>
              </w:numPr>
              <w:spacing w:after="0" w:line="240" w:lineRule="auto"/>
            </w:pPr>
            <w:r>
              <w:t>Open days,</w:t>
            </w:r>
          </w:p>
          <w:p w:rsidR="002A4511" w:rsidRDefault="002A4511" w:rsidP="002A4511">
            <w:pPr>
              <w:pStyle w:val="ListParagraph"/>
              <w:numPr>
                <w:ilvl w:val="0"/>
                <w:numId w:val="4"/>
              </w:numPr>
              <w:spacing w:after="0" w:line="240" w:lineRule="auto"/>
            </w:pPr>
            <w:r>
              <w:t xml:space="preserve"> </w:t>
            </w:r>
            <w:proofErr w:type="gramStart"/>
            <w:r>
              <w:t>student</w:t>
            </w:r>
            <w:proofErr w:type="gramEnd"/>
            <w:r>
              <w:t xml:space="preserve"> internship opportunities through BIDP membership. </w:t>
            </w:r>
          </w:p>
          <w:p w:rsidR="007F0825" w:rsidRDefault="002A4511" w:rsidP="002A4511">
            <w:pPr>
              <w:spacing w:after="0" w:line="240" w:lineRule="auto"/>
            </w:pPr>
            <w:r>
              <w:t xml:space="preserve">This will offer student member recruitment opportunities and participation in the skills development. </w:t>
            </w:r>
          </w:p>
        </w:tc>
        <w:tc>
          <w:tcPr>
            <w:tcW w:w="1354" w:type="dxa"/>
          </w:tcPr>
          <w:p w:rsidR="007F0825" w:rsidRDefault="00F15A92" w:rsidP="007F0825">
            <w:r>
              <w:t>Ready to present at start of Academic Year 13/14</w:t>
            </w:r>
          </w:p>
          <w:p w:rsidR="00F15A92" w:rsidRDefault="00F15A92" w:rsidP="007F0825"/>
        </w:tc>
      </w:tr>
      <w:tr w:rsidR="007F0825" w:rsidTr="00C3560B">
        <w:trPr>
          <w:trHeight w:val="276"/>
        </w:trPr>
        <w:tc>
          <w:tcPr>
            <w:tcW w:w="3591" w:type="dxa"/>
          </w:tcPr>
          <w:p w:rsidR="007F0825" w:rsidRDefault="002A4511" w:rsidP="002A4511">
            <w:pPr>
              <w:pStyle w:val="ListParagraph"/>
              <w:numPr>
                <w:ilvl w:val="0"/>
                <w:numId w:val="1"/>
              </w:numPr>
              <w:ind w:left="455"/>
            </w:pPr>
            <w:r>
              <w:t>Initiate and Partner with</w:t>
            </w:r>
            <w:r w:rsidR="007F0825">
              <w:t xml:space="preserve"> organisations for corporate social responsibility</w:t>
            </w:r>
          </w:p>
          <w:p w:rsidR="00D70455" w:rsidRDefault="00D70455" w:rsidP="00D70455">
            <w:pPr>
              <w:pStyle w:val="ListParagraph"/>
              <w:ind w:left="455"/>
            </w:pPr>
          </w:p>
        </w:tc>
        <w:tc>
          <w:tcPr>
            <w:tcW w:w="4536" w:type="dxa"/>
          </w:tcPr>
          <w:p w:rsidR="007F0825" w:rsidRDefault="002A4511" w:rsidP="007F0825">
            <w:r>
              <w:t xml:space="preserve">BIDP to pull the wealth of its membership to partake in social responsibility programmes. This can be done through alliances with cooperation’s that have availability of funds but lacking professional’s expertise which BIDP can offer. </w:t>
            </w:r>
          </w:p>
        </w:tc>
        <w:tc>
          <w:tcPr>
            <w:tcW w:w="1354" w:type="dxa"/>
          </w:tcPr>
          <w:p w:rsidR="00D70455" w:rsidRDefault="00D70455" w:rsidP="00D70455">
            <w:r>
              <w:t>Ready to present at start of Academic Year 13/14</w:t>
            </w:r>
          </w:p>
          <w:p w:rsidR="008D3EAC" w:rsidRDefault="008D3EAC" w:rsidP="00D70455">
            <w:r>
              <w:t>September for partnering with organisations</w:t>
            </w:r>
          </w:p>
          <w:p w:rsidR="00D70455" w:rsidRDefault="00D70455" w:rsidP="00D70455"/>
          <w:p w:rsidR="007F0825" w:rsidRDefault="007F0825" w:rsidP="007F0825"/>
        </w:tc>
      </w:tr>
      <w:tr w:rsidR="007F0825" w:rsidTr="00C3560B">
        <w:trPr>
          <w:trHeight w:val="299"/>
        </w:trPr>
        <w:tc>
          <w:tcPr>
            <w:tcW w:w="3591" w:type="dxa"/>
          </w:tcPr>
          <w:p w:rsidR="007F0825" w:rsidRDefault="007F0825" w:rsidP="002A4511">
            <w:pPr>
              <w:pStyle w:val="ListParagraph"/>
              <w:numPr>
                <w:ilvl w:val="0"/>
                <w:numId w:val="1"/>
              </w:numPr>
              <w:ind w:left="455"/>
            </w:pPr>
            <w:r>
              <w:t>Financial</w:t>
            </w:r>
            <w:r w:rsidR="002A4511">
              <w:t>, Insurance and Other Private Stakeholders</w:t>
            </w:r>
            <w:r w:rsidR="00533022">
              <w:t xml:space="preserve">. Initiate Contact and report to council </w:t>
            </w:r>
          </w:p>
          <w:p w:rsidR="00533022" w:rsidRDefault="00533022" w:rsidP="00533022">
            <w:pPr>
              <w:pStyle w:val="ListParagraph"/>
              <w:ind w:left="455"/>
            </w:pPr>
          </w:p>
        </w:tc>
        <w:tc>
          <w:tcPr>
            <w:tcW w:w="4536" w:type="dxa"/>
          </w:tcPr>
          <w:p w:rsidR="007F0825" w:rsidRDefault="007F0825" w:rsidP="007F0825"/>
        </w:tc>
        <w:tc>
          <w:tcPr>
            <w:tcW w:w="1354" w:type="dxa"/>
          </w:tcPr>
          <w:p w:rsidR="007F0825" w:rsidRDefault="00533022" w:rsidP="007F0825">
            <w:r>
              <w:t>October 2013</w:t>
            </w:r>
            <w:bookmarkStart w:id="0" w:name="_GoBack"/>
            <w:bookmarkEnd w:id="0"/>
          </w:p>
        </w:tc>
      </w:tr>
    </w:tbl>
    <w:p w:rsidR="00BF1937" w:rsidRDefault="00BF1937" w:rsidP="00BF1937"/>
    <w:p w:rsidR="00491D9F" w:rsidRDefault="00491D9F"/>
    <w:sectPr w:rsidR="00491D9F" w:rsidSect="00DB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70FA"/>
    <w:multiLevelType w:val="hybridMultilevel"/>
    <w:tmpl w:val="E9F6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80334"/>
    <w:multiLevelType w:val="hybridMultilevel"/>
    <w:tmpl w:val="2EDA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E7E48"/>
    <w:multiLevelType w:val="hybridMultilevel"/>
    <w:tmpl w:val="E66439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720EEE"/>
    <w:multiLevelType w:val="hybridMultilevel"/>
    <w:tmpl w:val="D854C90C"/>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9F"/>
    <w:rsid w:val="000D0710"/>
    <w:rsid w:val="000E269C"/>
    <w:rsid w:val="00171867"/>
    <w:rsid w:val="00186EFA"/>
    <w:rsid w:val="002A4511"/>
    <w:rsid w:val="00456F18"/>
    <w:rsid w:val="00462072"/>
    <w:rsid w:val="00491D9F"/>
    <w:rsid w:val="00533022"/>
    <w:rsid w:val="00653683"/>
    <w:rsid w:val="006C1DC7"/>
    <w:rsid w:val="007F0825"/>
    <w:rsid w:val="008D3EAC"/>
    <w:rsid w:val="008D6765"/>
    <w:rsid w:val="00915B78"/>
    <w:rsid w:val="00A6728D"/>
    <w:rsid w:val="00A87C6A"/>
    <w:rsid w:val="00BF1937"/>
    <w:rsid w:val="00C3560B"/>
    <w:rsid w:val="00C844A2"/>
    <w:rsid w:val="00D70455"/>
    <w:rsid w:val="00DB30AB"/>
    <w:rsid w:val="00DE16B9"/>
    <w:rsid w:val="00F0355B"/>
    <w:rsid w:val="00F15A92"/>
    <w:rsid w:val="00F9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Ndingi</dc:creator>
  <cp:lastModifiedBy>Ndingi</cp:lastModifiedBy>
  <cp:revision>13</cp:revision>
  <dcterms:created xsi:type="dcterms:W3CDTF">2013-06-18T13:08:00Z</dcterms:created>
  <dcterms:modified xsi:type="dcterms:W3CDTF">2013-06-18T14:20:00Z</dcterms:modified>
</cp:coreProperties>
</file>